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1AC7BA40" w:rsidR="00D31F3A" w:rsidRDefault="00D31F3A" w:rsidP="00D31F3A">
      <w:pPr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="00A3621A">
        <w:rPr>
          <w:bCs/>
          <w:sz w:val="28"/>
          <w:szCs w:val="28"/>
          <w:lang w:val="en-US"/>
        </w:rPr>
        <w:t>I</w:t>
      </w:r>
      <w:r w:rsidR="00071AD2">
        <w:rPr>
          <w:bCs/>
          <w:sz w:val="28"/>
          <w:szCs w:val="28"/>
          <w:lang w:val="en-US"/>
        </w:rPr>
        <w:t>V</w:t>
      </w:r>
      <w:r w:rsidRPr="00D31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очередь)</w:t>
      </w:r>
    </w:p>
    <w:p w14:paraId="250BCBF0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18E9409A" w:rsidR="00D31F3A" w:rsidRPr="00A3621A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Номер конкурса: 22-095-62412-1</w:t>
      </w:r>
      <w:r w:rsidRPr="004D3283">
        <w:rPr>
          <w:bCs/>
          <w:sz w:val="28"/>
          <w:szCs w:val="28"/>
        </w:rPr>
        <w:t>-000</w:t>
      </w:r>
      <w:r w:rsidR="00071AD2" w:rsidRPr="00A3621A">
        <w:rPr>
          <w:bCs/>
          <w:sz w:val="28"/>
          <w:szCs w:val="28"/>
        </w:rPr>
        <w:t>5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97894C8" w14:textId="54388F9B" w:rsidR="00642AEA" w:rsidRDefault="00642AEA" w:rsidP="00642AEA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711EA965" w14:textId="77777777" w:rsidR="00930F87" w:rsidRPr="00D6766D" w:rsidRDefault="00930F87" w:rsidP="00CA306C">
      <w:pPr>
        <w:widowControl w:val="0"/>
        <w:jc w:val="center"/>
        <w:rPr>
          <w:sz w:val="24"/>
          <w:szCs w:val="24"/>
        </w:rPr>
      </w:pP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3C23A2AC" w14:textId="7EB89441" w:rsidR="005648E5" w:rsidRPr="00864F91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Hlk104387941"/>
      <w:r w:rsidRPr="00864F91">
        <w:rPr>
          <w:sz w:val="28"/>
          <w:szCs w:val="28"/>
        </w:rPr>
        <w:t>Лот № 1 «</w:t>
      </w:r>
      <w:r w:rsidR="00071AD2" w:rsidRPr="00071AD2">
        <w:rPr>
          <w:sz w:val="28"/>
          <w:szCs w:val="28"/>
        </w:rPr>
        <w:t>Организация и проведение форумов руководителей школ, преподавателей русского языка и предметов на русском языке в Республике Таджикистан и Республике Узбекистан</w:t>
      </w:r>
      <w:r w:rsidRPr="00864F91">
        <w:rPr>
          <w:sz w:val="28"/>
          <w:szCs w:val="28"/>
        </w:rPr>
        <w:t>»;</w:t>
      </w:r>
    </w:p>
    <w:p w14:paraId="3E2478D3" w14:textId="10CEEB14" w:rsidR="005648E5" w:rsidRPr="00864F91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 2 «</w:t>
      </w:r>
      <w:r w:rsidR="00071AD2" w:rsidRPr="00071AD2">
        <w:rPr>
          <w:sz w:val="28"/>
          <w:szCs w:val="28"/>
        </w:rPr>
        <w:t>Неделя русского языка и литературы в Турецкой Республике</w:t>
      </w:r>
      <w:r w:rsidRPr="00864F91">
        <w:rPr>
          <w:sz w:val="28"/>
          <w:szCs w:val="28"/>
        </w:rPr>
        <w:t>»;</w:t>
      </w:r>
    </w:p>
    <w:p w14:paraId="183C166A" w14:textId="4DA4AF12" w:rsidR="005648E5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 3 «</w:t>
      </w:r>
      <w:r w:rsidR="00071AD2" w:rsidRPr="00071AD2">
        <w:rPr>
          <w:sz w:val="28"/>
          <w:szCs w:val="28"/>
        </w:rPr>
        <w:t>Организация и проведение мероприятий по повышению квалификации преподавателей курсов русского языка, организованных при поддержке Россотрудничества</w:t>
      </w:r>
      <w:r w:rsidRPr="00864F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434993A" w14:textId="3DBE0180" w:rsidR="005648E5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 4 «</w:t>
      </w:r>
      <w:r w:rsidR="00071AD2" w:rsidRPr="00071AD2">
        <w:rPr>
          <w:sz w:val="28"/>
          <w:szCs w:val="28"/>
        </w:rPr>
        <w:t>Организация и проведение Марафона образовательных мастер-классов «Мобильный Кванториум» в Республике Абхазия</w:t>
      </w:r>
      <w:r w:rsidRPr="00864F91">
        <w:rPr>
          <w:sz w:val="28"/>
          <w:szCs w:val="28"/>
        </w:rPr>
        <w:t>»</w:t>
      </w:r>
      <w:r w:rsidR="00071AD2">
        <w:rPr>
          <w:sz w:val="28"/>
          <w:szCs w:val="28"/>
        </w:rPr>
        <w:t>.</w:t>
      </w:r>
      <w:bookmarkEnd w:id="0"/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1B40332" w14:textId="77777777" w:rsidR="001C040F" w:rsidRDefault="001C040F" w:rsidP="00D67AF8">
      <w:pPr>
        <w:jc w:val="center"/>
        <w:rPr>
          <w:b/>
          <w:sz w:val="28"/>
          <w:szCs w:val="28"/>
        </w:rPr>
      </w:pPr>
    </w:p>
    <w:p w14:paraId="1CFEB48E" w14:textId="77777777" w:rsidR="0072593F" w:rsidRPr="00B5427B" w:rsidRDefault="0072593F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34D545F6" w:rsidR="000B212B" w:rsidRPr="005648E5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071AD2">
        <w:rPr>
          <w:b/>
          <w:bCs/>
          <w:sz w:val="28"/>
          <w:szCs w:val="28"/>
        </w:rPr>
        <w:t>2</w:t>
      </w:r>
      <w:r w:rsidR="00136223">
        <w:rPr>
          <w:b/>
          <w:bCs/>
          <w:sz w:val="28"/>
          <w:szCs w:val="28"/>
        </w:rPr>
        <w:t>6</w:t>
      </w:r>
      <w:bookmarkStart w:id="1" w:name="_GoBack"/>
      <w:bookmarkEnd w:id="1"/>
      <w:r w:rsidR="00EA2A65" w:rsidRPr="005648E5">
        <w:rPr>
          <w:b/>
          <w:sz w:val="28"/>
          <w:szCs w:val="28"/>
        </w:rPr>
        <w:t> </w:t>
      </w:r>
      <w:r w:rsidR="00394280" w:rsidRPr="005648E5">
        <w:rPr>
          <w:b/>
          <w:sz w:val="28"/>
          <w:szCs w:val="28"/>
        </w:rPr>
        <w:t>ма</w:t>
      </w:r>
      <w:r w:rsidR="005648E5" w:rsidRPr="005648E5">
        <w:rPr>
          <w:b/>
          <w:sz w:val="28"/>
          <w:szCs w:val="28"/>
        </w:rPr>
        <w:t>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="00C135CA" w:rsidRPr="005648E5">
        <w:rPr>
          <w:b/>
          <w:sz w:val="28"/>
          <w:szCs w:val="28"/>
        </w:rPr>
        <w:t xml:space="preserve"> </w:t>
      </w:r>
      <w:r w:rsidR="002E23DC" w:rsidRPr="005648E5">
        <w:rPr>
          <w:bCs/>
          <w:sz w:val="28"/>
          <w:szCs w:val="28"/>
        </w:rPr>
        <w:t>09</w:t>
      </w:r>
      <w:r w:rsidR="00C135CA" w:rsidRPr="005648E5">
        <w:rPr>
          <w:bCs/>
          <w:sz w:val="28"/>
          <w:szCs w:val="28"/>
        </w:rPr>
        <w:t>:00 по московскому времени.</w:t>
      </w:r>
    </w:p>
    <w:p w14:paraId="2C571233" w14:textId="0197664D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5648E5">
        <w:rPr>
          <w:sz w:val="28"/>
          <w:szCs w:val="28"/>
        </w:rPr>
        <w:t xml:space="preserve">Окончание приема заявок на участие в конкурсе – </w:t>
      </w:r>
      <w:r w:rsidRPr="005648E5">
        <w:rPr>
          <w:sz w:val="28"/>
          <w:szCs w:val="28"/>
        </w:rPr>
        <w:br/>
      </w:r>
      <w:r w:rsidR="005648E5" w:rsidRPr="005648E5">
        <w:rPr>
          <w:b/>
          <w:sz w:val="28"/>
          <w:szCs w:val="28"/>
        </w:rPr>
        <w:t>2</w:t>
      </w:r>
      <w:r w:rsidR="00A3621A">
        <w:rPr>
          <w:b/>
          <w:sz w:val="28"/>
          <w:szCs w:val="28"/>
        </w:rPr>
        <w:t>7</w:t>
      </w:r>
      <w:r w:rsidR="00D6766D" w:rsidRPr="005648E5">
        <w:rPr>
          <w:b/>
          <w:sz w:val="28"/>
          <w:szCs w:val="28"/>
        </w:rPr>
        <w:t xml:space="preserve"> </w:t>
      </w:r>
      <w:r w:rsidR="00B948C6">
        <w:rPr>
          <w:b/>
          <w:sz w:val="28"/>
          <w:szCs w:val="28"/>
        </w:rPr>
        <w:t>июня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Pr="005648E5">
        <w:rPr>
          <w:sz w:val="28"/>
          <w:szCs w:val="28"/>
        </w:rPr>
        <w:t xml:space="preserve"> </w:t>
      </w:r>
      <w:r w:rsidR="00B948C6">
        <w:rPr>
          <w:bCs/>
          <w:sz w:val="28"/>
          <w:szCs w:val="28"/>
        </w:rPr>
        <w:t>23</w:t>
      </w:r>
      <w:r w:rsidR="00C135CA" w:rsidRPr="00AE2CB3">
        <w:rPr>
          <w:bCs/>
          <w:sz w:val="28"/>
          <w:szCs w:val="28"/>
        </w:rPr>
        <w:t>:</w:t>
      </w:r>
      <w:r w:rsidR="00B948C6">
        <w:rPr>
          <w:bCs/>
          <w:sz w:val="28"/>
          <w:szCs w:val="28"/>
        </w:rPr>
        <w:t>59</w:t>
      </w:r>
      <w:r w:rsidR="00C135CA" w:rsidRPr="00AE2CB3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>такой срок составлял не менее чем десять рабочих 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0DA135B1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конкурсе. </w:t>
      </w:r>
    </w:p>
    <w:p w14:paraId="77162A01" w14:textId="678DDEAA" w:rsidR="009A7BE4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страницы заявки должны быть отпечатаны (шрифт – </w:t>
      </w:r>
      <w:r w:rsidRPr="00B5427B">
        <w:rPr>
          <w:sz w:val="28"/>
          <w:szCs w:val="28"/>
          <w:lang w:val="en-US"/>
        </w:rPr>
        <w:t>Times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New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Roman</w:t>
      </w:r>
      <w:r w:rsidRPr="00B5427B">
        <w:rPr>
          <w:sz w:val="28"/>
          <w:szCs w:val="28"/>
        </w:rPr>
        <w:t xml:space="preserve">, начертание – обычный, размер – 14 пт., междустрочный интервал – 1,5, поля: сверху – 2 см, снизу – 2 см, слева – 2,5 см, справа – 1 см, нумерация страниц – </w:t>
      </w:r>
      <w:r w:rsidRPr="001726F0">
        <w:rPr>
          <w:sz w:val="28"/>
          <w:szCs w:val="28"/>
        </w:rPr>
        <w:t>сверху по центру).</w:t>
      </w:r>
    </w:p>
    <w:p w14:paraId="498BDB2C" w14:textId="6B854093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Pr="00B5427B">
        <w:rPr>
          <w:sz w:val="28"/>
          <w:szCs w:val="28"/>
        </w:rPr>
        <w:t xml:space="preserve"> (таблицы могут быть выполнены в формате </w:t>
      </w:r>
      <w:r w:rsidRPr="00B5427B">
        <w:rPr>
          <w:sz w:val="28"/>
          <w:szCs w:val="28"/>
          <w:lang w:val="en-US"/>
        </w:rPr>
        <w:t>Microsoft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Excel</w:t>
      </w:r>
      <w:r w:rsidRPr="00B5427B">
        <w:rPr>
          <w:sz w:val="28"/>
          <w:szCs w:val="28"/>
        </w:rPr>
        <w:t>)</w:t>
      </w:r>
      <w:r w:rsidR="00C135CA">
        <w:rPr>
          <w:sz w:val="28"/>
          <w:szCs w:val="28"/>
        </w:rPr>
        <w:t xml:space="preserve">, оригиналы документов, справки и выписки предоставляются </w:t>
      </w:r>
      <w:r w:rsidR="00CD0AE9">
        <w:rPr>
          <w:sz w:val="28"/>
          <w:szCs w:val="28"/>
        </w:rPr>
        <w:br/>
      </w:r>
      <w:r w:rsidR="00C135CA">
        <w:rPr>
          <w:sz w:val="28"/>
          <w:szCs w:val="28"/>
        </w:rPr>
        <w:t>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2A8F84F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  <w:t>15 рабочих дней со дня окончания приема заявок, второй этап (содержательная экспертиза) проводится в течении 15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5DE995D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или 321) или по адресам электронной почты: </w:t>
      </w:r>
      <w:r w:rsidRPr="00705712">
        <w:rPr>
          <w:sz w:val="28"/>
          <w:szCs w:val="28"/>
          <w:lang w:val="en-US"/>
        </w:rPr>
        <w:t>o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filosofenko</w:t>
      </w:r>
      <w:r w:rsidRPr="00705712">
        <w:rPr>
          <w:sz w:val="28"/>
          <w:szCs w:val="28"/>
        </w:rPr>
        <w:t>@</w:t>
      </w:r>
      <w:r w:rsidRPr="00705712">
        <w:rPr>
          <w:sz w:val="28"/>
          <w:szCs w:val="28"/>
          <w:lang w:val="en-US"/>
        </w:rPr>
        <w:t>rs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 xml:space="preserve"> и </w:t>
      </w:r>
      <w:r w:rsidRPr="00705712">
        <w:rPr>
          <w:sz w:val="28"/>
          <w:szCs w:val="28"/>
          <w:lang w:val="en-US"/>
        </w:rPr>
        <w:t>e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chenchenko</w:t>
      </w:r>
      <w:r w:rsidRPr="00705712">
        <w:rPr>
          <w:sz w:val="28"/>
          <w:szCs w:val="28"/>
        </w:rPr>
        <w:t>@</w:t>
      </w:r>
      <w:r w:rsidRPr="00705712">
        <w:rPr>
          <w:sz w:val="28"/>
          <w:szCs w:val="28"/>
          <w:lang w:val="en-US"/>
        </w:rPr>
        <w:t>rs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</w:t>
      </w:r>
      <w:r w:rsidRPr="00705712">
        <w:rPr>
          <w:sz w:val="28"/>
          <w:szCs w:val="28"/>
        </w:rPr>
        <w:lastRenderedPageBreak/>
        <w:t xml:space="preserve">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6C"/>
    <w:rsid w:val="0000203B"/>
    <w:rsid w:val="00016904"/>
    <w:rsid w:val="0001716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2593F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621A"/>
    <w:rsid w:val="00A41091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E2F24"/>
    <w:rsid w:val="00C135CA"/>
    <w:rsid w:val="00C237DA"/>
    <w:rsid w:val="00C31125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23E8C"/>
    <w:rsid w:val="00F25020"/>
    <w:rsid w:val="00F27C0E"/>
    <w:rsid w:val="00F4502B"/>
    <w:rsid w:val="00F55C33"/>
    <w:rsid w:val="00F70E06"/>
    <w:rsid w:val="00F73260"/>
    <w:rsid w:val="00F962D6"/>
    <w:rsid w:val="00FB1FF9"/>
    <w:rsid w:val="00FC13DF"/>
    <w:rsid w:val="00FC1D64"/>
    <w:rsid w:val="00FC30BA"/>
    <w:rsid w:val="00FC6F81"/>
    <w:rsid w:val="00FD5306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815C-6691-4836-BDE0-ADC86D0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89</cp:revision>
  <cp:lastPrinted>2021-05-18T06:28:00Z</cp:lastPrinted>
  <dcterms:created xsi:type="dcterms:W3CDTF">2016-06-21T13:49:00Z</dcterms:created>
  <dcterms:modified xsi:type="dcterms:W3CDTF">2022-05-25T15:31:00Z</dcterms:modified>
</cp:coreProperties>
</file>